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EB084E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103</w:t>
      </w:r>
      <w:r w:rsidR="00E166A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3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E85816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</w:t>
      </w:r>
      <w:r w:rsidR="00E166A1">
        <w:rPr>
          <w:b w:val="0"/>
          <w:color w:val="000099"/>
          <w:sz w:val="24"/>
        </w:rPr>
        <w:t>3</w:t>
      </w:r>
      <w:r w:rsidR="00EB084E">
        <w:rPr>
          <w:b w:val="0"/>
          <w:color w:val="000099"/>
          <w:sz w:val="24"/>
        </w:rPr>
        <w:t>415-92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20 ма</w:t>
      </w:r>
      <w:r w:rsidR="00CD3FD1">
        <w:rPr>
          <w:b w:val="0"/>
          <w:bCs w:val="0"/>
          <w:color w:val="000099"/>
          <w:sz w:val="27"/>
          <w:szCs w:val="27"/>
        </w:rPr>
        <w:t>я</w:t>
      </w:r>
      <w:r w:rsidR="004E5C19">
        <w:rPr>
          <w:b w:val="0"/>
          <w:bCs w:val="0"/>
          <w:color w:val="000099"/>
          <w:sz w:val="27"/>
          <w:szCs w:val="27"/>
        </w:rPr>
        <w:t xml:space="preserve">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Ярунова Михаила Валерьевича, </w:t>
      </w:r>
      <w:r w:rsidR="003C7B4C">
        <w:rPr>
          <w:color w:val="000099"/>
          <w:sz w:val="28"/>
          <w:szCs w:val="28"/>
          <w:lang w:val="en-US"/>
        </w:rPr>
        <w:t>&lt;&lt;</w:t>
      </w:r>
      <w:r w:rsidR="003C7B4C">
        <w:rPr>
          <w:color w:val="000099"/>
          <w:sz w:val="28"/>
          <w:szCs w:val="28"/>
        </w:rPr>
        <w:t>***</w:t>
      </w:r>
      <w:r w:rsidR="003C7B4C">
        <w:rPr>
          <w:color w:val="000099"/>
          <w:sz w:val="28"/>
          <w:szCs w:val="28"/>
          <w:lang w:val="en-US"/>
        </w:rPr>
        <w:t>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2</w:t>
      </w:r>
      <w:r w:rsidR="00EB084E">
        <w:rPr>
          <w:color w:val="000099"/>
          <w:sz w:val="27"/>
          <w:szCs w:val="27"/>
        </w:rPr>
        <w:t>4</w:t>
      </w:r>
      <w:r w:rsidRPr="00D44C7E" w:rsidR="009668EF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4</w:t>
      </w:r>
      <w:r w:rsidRPr="00D44C7E" w:rsidR="009668EF">
        <w:rPr>
          <w:color w:val="000099"/>
          <w:sz w:val="27"/>
          <w:szCs w:val="27"/>
        </w:rPr>
        <w:t>.202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года в </w:t>
      </w:r>
      <w:r w:rsidR="00EB084E">
        <w:rPr>
          <w:color w:val="000099"/>
          <w:sz w:val="27"/>
          <w:szCs w:val="27"/>
        </w:rPr>
        <w:t>20</w:t>
      </w:r>
      <w:r w:rsidRPr="00D44C7E">
        <w:rPr>
          <w:color w:val="000099"/>
          <w:sz w:val="27"/>
          <w:szCs w:val="27"/>
        </w:rPr>
        <w:t xml:space="preserve"> час. </w:t>
      </w:r>
      <w:r w:rsidR="00EB084E">
        <w:rPr>
          <w:color w:val="000099"/>
          <w:sz w:val="27"/>
          <w:szCs w:val="27"/>
        </w:rPr>
        <w:t>4</w:t>
      </w:r>
      <w:r>
        <w:rPr>
          <w:color w:val="000099"/>
          <w:sz w:val="27"/>
          <w:szCs w:val="27"/>
        </w:rPr>
        <w:t>0</w:t>
      </w:r>
      <w:r w:rsidRPr="00D44C7E">
        <w:rPr>
          <w:color w:val="000099"/>
          <w:sz w:val="27"/>
          <w:szCs w:val="27"/>
        </w:rPr>
        <w:t xml:space="preserve"> мин. на автодорог</w:t>
      </w:r>
      <w:r w:rsidR="00863B50">
        <w:rPr>
          <w:color w:val="000099"/>
          <w:sz w:val="27"/>
          <w:szCs w:val="27"/>
        </w:rPr>
        <w:t xml:space="preserve">е </w:t>
      </w:r>
      <w:r w:rsidR="00EB084E">
        <w:rPr>
          <w:color w:val="000099"/>
          <w:sz w:val="27"/>
          <w:szCs w:val="27"/>
        </w:rPr>
        <w:t>в СОТ № 57 Лето около д. 381</w:t>
      </w:r>
      <w:r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3C7B4C" w:rsidR="003C7B4C">
        <w:rPr>
          <w:color w:val="000099"/>
          <w:sz w:val="28"/>
          <w:szCs w:val="28"/>
        </w:rPr>
        <w:t>&lt;&lt;</w:t>
      </w:r>
      <w:r w:rsidR="003C7B4C">
        <w:rPr>
          <w:color w:val="000099"/>
          <w:sz w:val="28"/>
          <w:szCs w:val="28"/>
        </w:rPr>
        <w:t>***</w:t>
      </w:r>
      <w:r w:rsidRPr="003C7B4C" w:rsidR="003C7B4C">
        <w:rPr>
          <w:color w:val="000099"/>
          <w:sz w:val="28"/>
          <w:szCs w:val="28"/>
        </w:rPr>
        <w:t>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3C7B4C" w:rsidR="003C7B4C">
        <w:rPr>
          <w:color w:val="000099"/>
          <w:sz w:val="28"/>
          <w:szCs w:val="28"/>
        </w:rPr>
        <w:t>&lt;&lt;</w:t>
      </w:r>
      <w:r w:rsidR="003C7B4C">
        <w:rPr>
          <w:color w:val="000099"/>
          <w:sz w:val="28"/>
          <w:szCs w:val="28"/>
        </w:rPr>
        <w:t>***</w:t>
      </w:r>
      <w:r w:rsidRPr="003C7B4C" w:rsidR="003C7B4C">
        <w:rPr>
          <w:color w:val="000099"/>
          <w:sz w:val="28"/>
          <w:szCs w:val="28"/>
        </w:rPr>
        <w:t>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color w:val="000099"/>
          <w:sz w:val="27"/>
          <w:szCs w:val="27"/>
        </w:rPr>
        <w:t xml:space="preserve"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</w:t>
      </w:r>
      <w:r w:rsidR="00BA46C9">
        <w:rPr>
          <w:color w:val="000099"/>
          <w:sz w:val="27"/>
          <w:szCs w:val="27"/>
        </w:rPr>
        <w:t>ходатайствовал о рассмотрении дела в его отсутствие, вину признал, просил строго не наказывать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E166A1">
        <w:rPr>
          <w:color w:val="000099"/>
          <w:sz w:val="27"/>
          <w:szCs w:val="27"/>
        </w:rPr>
        <w:t>81</w:t>
      </w:r>
      <w:r w:rsidR="00EB084E">
        <w:rPr>
          <w:color w:val="000099"/>
          <w:sz w:val="27"/>
          <w:szCs w:val="27"/>
        </w:rPr>
        <w:t>354</w:t>
      </w:r>
      <w:r w:rsidRPr="00D44C7E">
        <w:rPr>
          <w:color w:val="000099"/>
          <w:sz w:val="27"/>
          <w:szCs w:val="27"/>
        </w:rPr>
        <w:t xml:space="preserve"> от </w:t>
      </w:r>
      <w:r w:rsidR="00EB084E">
        <w:rPr>
          <w:color w:val="000099"/>
          <w:sz w:val="27"/>
          <w:szCs w:val="27"/>
        </w:rPr>
        <w:t>24.</w:t>
      </w:r>
      <w:r w:rsidR="00696890">
        <w:rPr>
          <w:color w:val="000099"/>
          <w:sz w:val="27"/>
          <w:szCs w:val="27"/>
        </w:rPr>
        <w:t>0</w:t>
      </w:r>
      <w:r w:rsidR="00E166A1">
        <w:rPr>
          <w:color w:val="000099"/>
          <w:sz w:val="27"/>
          <w:szCs w:val="27"/>
        </w:rPr>
        <w:t>4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84010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EB084E">
        <w:rPr>
          <w:color w:val="000099"/>
          <w:sz w:val="27"/>
          <w:szCs w:val="27"/>
        </w:rPr>
        <w:t>77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342879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EB084E">
        <w:rPr>
          <w:color w:val="000099"/>
          <w:sz w:val="27"/>
          <w:szCs w:val="27"/>
        </w:rPr>
        <w:t>Ярунова Михаила Валерьевича</w:t>
      </w:r>
      <w:r w:rsidRPr="00817ACC" w:rsidR="00E166A1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Ярунова Михаила Валерьевича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</w:t>
      </w:r>
      <w:r w:rsidRPr="00D44C7E">
        <w:rPr>
          <w:sz w:val="27"/>
          <w:szCs w:val="27"/>
        </w:rPr>
        <w:t xml:space="preserve">подвергнуть административному наказанию в виде административного штрафа в 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342879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484010">
        <w:rPr>
          <w:color w:val="C00000"/>
          <w:sz w:val="27"/>
          <w:szCs w:val="27"/>
        </w:rPr>
        <w:t>6</w:t>
      </w:r>
      <w:r w:rsidRPr="00D44C7E">
        <w:rPr>
          <w:color w:val="C00000"/>
          <w:sz w:val="27"/>
          <w:szCs w:val="27"/>
        </w:rPr>
        <w:t xml:space="preserve">03 200 </w:t>
      </w:r>
      <w:r w:rsidR="00484010">
        <w:rPr>
          <w:color w:val="C00000"/>
          <w:sz w:val="27"/>
          <w:szCs w:val="27"/>
        </w:rPr>
        <w:t>0</w:t>
      </w:r>
      <w:r w:rsidR="00EB084E">
        <w:rPr>
          <w:color w:val="C00000"/>
          <w:sz w:val="27"/>
          <w:szCs w:val="27"/>
        </w:rPr>
        <w:t>8671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3C7B4C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3C7B4C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C7B4C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76D9F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63B50"/>
    <w:rsid w:val="00871F83"/>
    <w:rsid w:val="008732DC"/>
    <w:rsid w:val="008744B5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46C9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3FD1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166A1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85816"/>
    <w:rsid w:val="00E91AAC"/>
    <w:rsid w:val="00EA6192"/>
    <w:rsid w:val="00EA74EB"/>
    <w:rsid w:val="00EB084E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